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D4" w:rsidRPr="00AB53D4" w:rsidRDefault="00AB53D4" w:rsidP="00AB53D4">
      <w:pPr>
        <w:rPr>
          <w:rFonts w:ascii="Calibri" w:eastAsia="Times New Roman" w:hAnsi="Calibri" w:cs="Calibri"/>
          <w:b/>
          <w:color w:val="000000"/>
        </w:rPr>
      </w:pPr>
      <w:r w:rsidRPr="00AB53D4">
        <w:rPr>
          <w:rFonts w:ascii="Calibri" w:eastAsia="Times New Roman" w:hAnsi="Calibri" w:cs="Calibri"/>
          <w:b/>
          <w:color w:val="000000"/>
        </w:rPr>
        <w:t>Bio:</w:t>
      </w:r>
    </w:p>
    <w:p w:rsidR="00AB53D4" w:rsidRPr="00AB53D4" w:rsidRDefault="00AB53D4" w:rsidP="00AB53D4">
      <w:pPr>
        <w:rPr>
          <w:rFonts w:ascii="-webkit-standard" w:eastAsia="Times New Roman" w:hAnsi="-webkit-standard" w:cs="Times New Roman"/>
          <w:color w:val="000000"/>
        </w:rPr>
      </w:pPr>
    </w:p>
    <w:p w:rsidR="00AB53D4" w:rsidRPr="00AB53D4" w:rsidRDefault="00AB53D4" w:rsidP="00AB53D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Professor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Anoush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Ehteshami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is Professor of International Relations in the School of Government and International Affairs, Durham University. He is the Nasser al-Mohammad al-Sabah Chair in International Relations and Director of the HH Sheikh Nasser al-Mohammad al-Sabah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Programme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in International Relations, Regional Politics and Security. He is, further, Director of the Institute for Middle Eastern &amp; Islamic Studies (IMEIS) at Durham, one of the oldest and noted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centres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of excellence in Middle Eastern studies in Europe. He acts as Co-director (2016-2021) of the £3.9 million AHRC-funded Open Worlds Initiative entitled Cross-Language Dynamics: Reshaping Community. Previously (2006-2016), he acted as Joint Director of the nationally (RCUK)-funded Durham-Edinburgh-Manchester Universities’ research and training Centre for the Advanced Study of the Arab World (CASAW). </w:t>
      </w:r>
    </w:p>
    <w:p w:rsidR="00AB53D4" w:rsidRPr="00AB53D4" w:rsidRDefault="00AB53D4" w:rsidP="00AB53D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AB53D4" w:rsidRDefault="00AB53D4" w:rsidP="00AB53D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He was Durham University’s first Dean of Internationalization, 2009-2011, and was the founding Head of the School of Government and International Affairs (2004-9). He has been a Fellow of the World Economic </w:t>
      </w:r>
      <w:proofErr w:type="gram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Forum, and</w:t>
      </w:r>
      <w:proofErr w:type="gram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served as a member of the WEF’s foremost body, the Global Agenda Councils, 2010-12, focusing on energy. He was Vice-President and Chair of Council of the British Society for Middle Eastern Studies (BRISMES) 2000-2003. He is Editor of two major book series on the Middle East and the wider Muslim </w:t>
      </w:r>
      <w:proofErr w:type="gram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world, and</w:t>
      </w:r>
      <w:proofErr w:type="gram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is member of Editorial Board of seven international journals. His many book-length publications include:</w:t>
      </w:r>
    </w:p>
    <w:p w:rsidR="00AB53D4" w:rsidRPr="00AB53D4" w:rsidRDefault="00AB53D4" w:rsidP="00AB53D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Iran: Stuck in Transition (New York: Routledge, 2017), 296pp;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Security and Bilateral Relations between Iran &amp; its Arab Neighbors (co-editor) (New York, NY: Palgrave Macmillan, 2017), 240pp; 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The Emerging Middle East-East Asia Nexus (co-editor) (New York: NY, Routledge, 2015), 192pp;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The Foreign Policies of Middle East States (co-editor) (Boulder, CO: Lynne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Rienner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, 2014), 399pp;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Dynamics of Change in the Persian Gulf: Political Economy, War and Revolution (New York, NY: Routledge, 2013), 292pp;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Iran and the International System (co-editor) (New York, NY, Routledge, 2012), 224pp;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The International Politics of the Red Sea (with Emma Murphy) (New York, NY: Routledge, 2011), 265pp; 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Competing Powerbrokers of the Middle East: Iran and Saudi Arabia (Abu Dhabi: Emirates Center for Strategic Studies and Research, 2009), 59pp;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Reform in the Middle East Oil Monarchies (co-editor) (Reading: Ithaca Press, 2008), 309pp;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Globalization and Geopolitics in the Middle East: Old Games, New Rules (New York, NY: Routledge, 2007), 258pp;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Iran and the Rise of its Neoconservatives (with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Mahjoob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Zweiri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) (London: I.B. Tauris, 2007);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The Middle East’s Relations with Asia and Russia (co-editor) (London: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RoutledgeCurzon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, 2004), 166pp;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The Changing Balance of Power in Asia (Abu Dhabi: ECSSR, 1998), 62pp;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Syria and Iran: Middle Powers in a Penetrated Regional System (with Ray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Hinnebusch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) (London: Routledge, 1997), 238pp;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Islamic Fundamentalism (co-editor) (Boulder, CO: Westview Press, 1996), 284pp;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After Khomeini: The Iranian Second Republic (London: Routledge, 1995), 244pp;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From the Gulf to Central Asia: Players in the News Great Game (editor) (Exeter: University of Exeter Press, 1994), 242pp;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Iran and the International Community (co-editor) (London: Routledge, 1991), 191pp;</w:t>
      </w:r>
    </w:p>
    <w:p w:rsid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Nuclearisation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of the Middle East (New York, NY: Brassey’s 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Defence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 xml:space="preserve"> Publishers, 1989), 197pp. </w:t>
      </w:r>
    </w:p>
    <w:p w:rsidR="00AB53D4" w:rsidRPr="00AB53D4" w:rsidRDefault="00AB53D4" w:rsidP="00AB53D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</w:p>
    <w:p w:rsidR="00AB53D4" w:rsidRPr="00AB53D4" w:rsidRDefault="00AB53D4" w:rsidP="00AB53D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He also has over 90 articles in learned journals and edited volumes to his name. His current research agenda revolves around five over-arching themes: </w:t>
      </w:r>
    </w:p>
    <w:p w:rsidR="00AB53D4" w:rsidRPr="00AB53D4" w:rsidRDefault="00AB53D4" w:rsidP="00AB53D4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The Asian balance of power in the post-Cold War era.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The ‘</w:t>
      </w:r>
      <w:proofErr w:type="spellStart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Asianization</w:t>
      </w:r>
      <w:proofErr w:type="spellEnd"/>
      <w:r w:rsidRPr="00AB53D4">
        <w:rPr>
          <w:rFonts w:ascii="Calibri" w:eastAsia="Times New Roman" w:hAnsi="Calibri" w:cs="Calibri"/>
          <w:color w:val="000000"/>
          <w:sz w:val="22"/>
          <w:szCs w:val="22"/>
        </w:rPr>
        <w:t>’ of the international system.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Foreign and security policies of Middle East states since the end of the Cold War.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The Arab region in transition: Role of state and non-state actors.</w:t>
      </w:r>
    </w:p>
    <w:p w:rsidR="00AB53D4" w:rsidRPr="00AB53D4" w:rsidRDefault="00AB53D4" w:rsidP="00AB53D4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AB53D4">
        <w:rPr>
          <w:rFonts w:ascii="Calibri" w:eastAsia="Times New Roman" w:hAnsi="Calibri" w:cs="Calibri"/>
          <w:color w:val="000000"/>
          <w:sz w:val="22"/>
          <w:szCs w:val="22"/>
        </w:rPr>
        <w:t>Good governance in the Middle East.</w:t>
      </w:r>
    </w:p>
    <w:p w:rsidR="00C30DF1" w:rsidRPr="00AB53D4" w:rsidRDefault="00C30DF1" w:rsidP="00AB53D4">
      <w:pPr>
        <w:jc w:val="both"/>
        <w:rPr>
          <w:rFonts w:ascii="Calibri" w:hAnsi="Calibri" w:cs="Calibri"/>
          <w:sz w:val="22"/>
          <w:szCs w:val="22"/>
        </w:rPr>
      </w:pPr>
    </w:p>
    <w:sectPr w:rsidR="00C30DF1" w:rsidRPr="00AB53D4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6165F"/>
    <w:multiLevelType w:val="hybridMultilevel"/>
    <w:tmpl w:val="C3C4EF22"/>
    <w:lvl w:ilvl="0" w:tplc="0C28C25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28BF"/>
    <w:multiLevelType w:val="hybridMultilevel"/>
    <w:tmpl w:val="ACA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A3D8F"/>
    <w:multiLevelType w:val="hybridMultilevel"/>
    <w:tmpl w:val="D41E04EC"/>
    <w:lvl w:ilvl="0" w:tplc="0C28C25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4"/>
    <w:rsid w:val="00AB53D4"/>
    <w:rsid w:val="00C30DF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BC50"/>
  <w15:chartTrackingRefBased/>
  <w15:docId w15:val="{EC411380-0517-F048-8FE6-E46EFA2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53D4"/>
  </w:style>
  <w:style w:type="character" w:customStyle="1" w:styleId="apple-tab-span">
    <w:name w:val="apple-tab-span"/>
    <w:basedOn w:val="DefaultParagraphFont"/>
    <w:rsid w:val="00AB53D4"/>
  </w:style>
  <w:style w:type="paragraph" w:styleId="ListParagraph">
    <w:name w:val="List Paragraph"/>
    <w:basedOn w:val="Normal"/>
    <w:uiPriority w:val="34"/>
    <w:qFormat/>
    <w:rsid w:val="00AB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2019-04-24T15:36:00Z</dcterms:created>
  <dcterms:modified xsi:type="dcterms:W3CDTF">2019-04-24T15:39:00Z</dcterms:modified>
</cp:coreProperties>
</file>