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BF" w:rsidRPr="00E800BF" w:rsidRDefault="00E800BF" w:rsidP="00E800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800B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ALI WYNE</w:t>
      </w:r>
    </w:p>
    <w:p w:rsidR="00E800BF" w:rsidRPr="00E800BF" w:rsidRDefault="00E800BF" w:rsidP="00E8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Ali Wyne is a Washington, DC-based policy analyst in the RAND Corporation’s Defense and Political Sciences Department.  He serves as a nonresident fellow with the Atlantic Council’s Scowcroft Center for Strategy and Security and a nonresident fellow with the Modern War Institute.  Since January 2015 he has been the rapporteur for a National Intelligence Council working group that convenes government officials and international relations scholars to analyze trends in world order.</w:t>
      </w: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Ali served as a junior fellow in the Carnegie Endowment for International Peace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China Program from 2008 to 2009 and as a research assistant to Graham Allison at the </w:t>
      </w:r>
      <w:proofErr w:type="spellStart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Belfer</w:t>
      </w:r>
      <w:proofErr w:type="spellEnd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for Science and International Affairs from 2009 to 2012.  He has also conducted research for Robert Blackwill, Derek </w:t>
      </w:r>
      <w:proofErr w:type="spellStart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Chollet</w:t>
      </w:r>
      <w:proofErr w:type="spellEnd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Henry Kissinger, Wendy Sherman, and Richard Stengel.  From January to July 2013 he worked on a team that prepared Samantha Power for her confirmation hearing 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mbassador to the United Nations.  From 2014 to 2015 he was a member of the RAND Corporation’s adjunct staff, working for the late Richard Solomon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Strategic Rethink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series.</w:t>
      </w: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 graduated from the Massachusetts Institute of Technology with dual degrees in Management Science and Political Science (2008) and received his </w:t>
      </w:r>
      <w:proofErr w:type="gramStart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Master in Public Policy</w:t>
      </w:r>
      <w:proofErr w:type="gramEnd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Harvard Kennedy School (2017), where he was a course assistant to Joseph Nye.  While at the Kennedy School, he served on a Hillary for America working group on U.S. policy towards Asia.</w:t>
      </w: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 is a coauthor of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Lee </w:t>
      </w:r>
      <w:proofErr w:type="spellStart"/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Kuan</w:t>
      </w:r>
      <w:proofErr w:type="spellEnd"/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Yew: The Grand Master’s Insights on China, the United States, and the World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(2013) and a contributing author to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Our American Story: The Search for a Shared National Narrative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(2019);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Power Relations in the Twenty-First Century: Mapping a Multipolar World?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Routledge Handbook of Public Diplomacy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(2008).  He has published extensively in outlets including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Washington Post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Wall Street Journal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Boston Globe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Christian Science Monitor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 delivered the welcome address at the 2011 St. Gallen Symposium, participated in the 2015 Manfred </w:t>
      </w:r>
      <w:proofErr w:type="spellStart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Wörner</w:t>
      </w:r>
      <w:proofErr w:type="spellEnd"/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Seminar, was selected to attend the 2016 Young Strategists Forum and the 2018 Brussels Forum Young Professionals Summit, and participated in the 2018 China-U.S. Young Scholars Dialogue.  In 2012, Young Professionals in Foreign Policy and the </w:t>
      </w:r>
      <w:r w:rsidRPr="00E8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Diplomatic Courier</w:t>
      </w: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selected him as one of the 99 most influential professionals in foreign policy under 33.</w:t>
      </w:r>
    </w:p>
    <w:p w:rsidR="00E800BF" w:rsidRPr="00E800BF" w:rsidRDefault="00E800BF" w:rsidP="00E8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D51" w:rsidRPr="00E800BF" w:rsidRDefault="00E800BF" w:rsidP="00E8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BF">
        <w:rPr>
          <w:rFonts w:ascii="Times New Roman" w:eastAsia="Times New Roman" w:hAnsi="Times New Roman" w:cs="Times New Roman"/>
          <w:color w:val="000000"/>
          <w:sz w:val="24"/>
          <w:szCs w:val="24"/>
        </w:rPr>
        <w:t>Ali is a term member of the Council on Foreign Relations, a David Rockefeller fellow with the Trilateral Commission, and a security fellow with the Truman National Security Project.</w:t>
      </w:r>
      <w:bookmarkStart w:id="0" w:name="_GoBack"/>
      <w:bookmarkEnd w:id="0"/>
    </w:p>
    <w:sectPr w:rsidR="00DC1D51" w:rsidRPr="00E8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BF"/>
    <w:rsid w:val="00AD1B81"/>
    <w:rsid w:val="00BC6D8F"/>
    <w:rsid w:val="00DC1D51"/>
    <w:rsid w:val="00E800BF"/>
    <w:rsid w:val="00E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CF93-8B41-4F61-A8B0-1C112C3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2270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Wyne, Ali</dc:creator>
  <cp:keywords/>
  <dc:description/>
  <cp:lastModifiedBy>Wyne, Ali</cp:lastModifiedBy>
  <cp:revision>2</cp:revision>
  <dcterms:created xsi:type="dcterms:W3CDTF">2019-03-09T06:25:00Z</dcterms:created>
  <dcterms:modified xsi:type="dcterms:W3CDTF">2019-03-09T06:25:00Z</dcterms:modified>
</cp:coreProperties>
</file>