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5DA4" w14:textId="4BEAC968" w:rsidR="00C61A5F" w:rsidRDefault="00C61A5F" w:rsidP="00C61A5F">
      <w:pPr>
        <w:pStyle w:val="Title"/>
        <w:spacing w:after="240"/>
        <w:rPr>
          <w:rFonts w:eastAsia="Times New Roman"/>
        </w:rPr>
      </w:pPr>
      <w:r>
        <w:rPr>
          <w:rFonts w:eastAsia="Times New Roman"/>
        </w:rPr>
        <w:t>Richard Jackson Bio</w:t>
      </w:r>
    </w:p>
    <w:p w14:paraId="3042EC33" w14:textId="2188B577" w:rsidR="00C61A5F" w:rsidRPr="00C61A5F" w:rsidRDefault="00C61A5F" w:rsidP="00C61A5F">
      <w:pPr>
        <w:jc w:val="both"/>
        <w:rPr>
          <w:rFonts w:ascii="Calibri" w:eastAsia="Times New Roman" w:hAnsi="Calibri" w:cs="Calibri"/>
          <w:sz w:val="22"/>
          <w:szCs w:val="22"/>
        </w:rPr>
      </w:pPr>
      <w:r w:rsidRPr="00C61A5F">
        <w:rPr>
          <w:rFonts w:ascii="Calibri" w:eastAsia="Times New Roman" w:hAnsi="Calibri" w:cs="Calibri"/>
          <w:color w:val="000000"/>
          <w:sz w:val="22"/>
          <w:szCs w:val="22"/>
        </w:rPr>
        <w:t>Richard Jackson is a Professor of Peace Studies and the Director of the National Centre for Peace and Conflict Studies, University of Otago, New Zealand. He is the editor-in-chief of the journal, Critical Studies on Terrorism, and the author or editor of 11 books on terrorism, counterterrorism, political violence and conflict resolution. He has also published more than 100 papers on these topics. His current research explores how the theory and practice of nonviolence and pacifism can contribute to a better understanding of international relations, and a wider set of policy options for security challenges.</w:t>
      </w:r>
    </w:p>
    <w:p w14:paraId="72B9E7AA" w14:textId="77777777" w:rsidR="007E427F" w:rsidRDefault="007E427F">
      <w:bookmarkStart w:id="0" w:name="_GoBack"/>
      <w:bookmarkEnd w:id="0"/>
    </w:p>
    <w:sectPr w:rsidR="007E427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5F"/>
    <w:rsid w:val="007E427F"/>
    <w:rsid w:val="00C61A5F"/>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50D2"/>
  <w15:chartTrackingRefBased/>
  <w15:docId w15:val="{F519DE97-F83C-2F41-9CD7-F9AF210D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A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2019-04-12T23:06:00Z</dcterms:created>
  <dcterms:modified xsi:type="dcterms:W3CDTF">2019-04-12T23:08:00Z</dcterms:modified>
</cp:coreProperties>
</file>