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D5C1" w14:textId="69E11295" w:rsidR="00CB655B" w:rsidRPr="00CB655B" w:rsidRDefault="00CB655B" w:rsidP="00CB655B">
      <w:pPr>
        <w:spacing w:after="240"/>
        <w:outlineLvl w:val="2"/>
        <w:rPr>
          <w:rFonts w:ascii="Arial" w:eastAsia="Times New Roman" w:hAnsi="Arial" w:cs="Arial"/>
          <w:color w:val="222222"/>
          <w:sz w:val="33"/>
          <w:szCs w:val="33"/>
        </w:rPr>
      </w:pPr>
      <w:r w:rsidRPr="00CB655B">
        <w:rPr>
          <w:rFonts w:ascii="Arial" w:eastAsia="Times New Roman" w:hAnsi="Arial" w:cs="Arial"/>
          <w:color w:val="222222"/>
          <w:sz w:val="33"/>
          <w:szCs w:val="33"/>
        </w:rPr>
        <w:t>David S. H. Rosenthal</w:t>
      </w:r>
      <w:r>
        <w:rPr>
          <w:rFonts w:ascii="Arial" w:eastAsia="Times New Roman" w:hAnsi="Arial" w:cs="Arial"/>
          <w:color w:val="222222"/>
          <w:sz w:val="33"/>
          <w:szCs w:val="33"/>
        </w:rPr>
        <w:t xml:space="preserve"> Bio</w:t>
      </w:r>
    </w:p>
    <w:p w14:paraId="01E39537" w14:textId="7A92C706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55B">
        <w:rPr>
          <w:rFonts w:ascii="Calibri" w:eastAsia="Times New Roman" w:hAnsi="Calibri" w:cs="Calibri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9EF78C" wp14:editId="0AC601BB">
            <wp:simplePos x="0" y="0"/>
            <wp:positionH relativeFrom="margin">
              <wp:posOffset>3442335</wp:posOffset>
            </wp:positionH>
            <wp:positionV relativeFrom="margin">
              <wp:posOffset>440530</wp:posOffset>
            </wp:positionV>
            <wp:extent cx="2489200" cy="232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2 at 10.56.4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655B">
        <w:rPr>
          <w:rFonts w:ascii="Calibri" w:eastAsia="Times New Roman" w:hAnsi="Calibri" w:cs="Calibri"/>
          <w:color w:val="222222"/>
          <w:sz w:val="22"/>
          <w:szCs w:val="22"/>
        </w:rPr>
        <w:t>In 1998 at the Stanford Libraries David Rosenthal and Vicky Reich </w:t>
      </w:r>
      <w:hyperlink r:id="rId5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started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 the </w:t>
      </w:r>
      <w:hyperlink r:id="rId6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LOCKSS Program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 with funding from NSF. It is aimed at long-term preservation of web published materials (e-journals, books, blogs, websites, archival materials, </w:t>
      </w:r>
      <w:proofErr w:type="spell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etc</w:t>
      </w:r>
      <w:proofErr w:type="spell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). From 1999-2002 he worked on it at Sun Labs. From 2002 until he retired in </w:t>
      </w:r>
      <w:proofErr w:type="gram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2017</w:t>
      </w:r>
      <w:proofErr w:type="gram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 he worked on it at the Stanford Libraries.</w:t>
      </w:r>
    </w:p>
    <w:p w14:paraId="396781B9" w14:textId="77777777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5D7E5432" w14:textId="12E013E2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55B">
        <w:rPr>
          <w:rFonts w:ascii="Calibri" w:eastAsia="Times New Roman" w:hAnsi="Calibri" w:cs="Calibri"/>
          <w:color w:val="222222"/>
          <w:sz w:val="22"/>
          <w:szCs w:val="22"/>
        </w:rPr>
        <w:t>David built and tested the initial prototype, developed the </w:t>
      </w:r>
      <w:hyperlink r:id="rId7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OpenBSD-based network appliance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 technology that LOCKSS peers used for the first 5 years of production, and was part of the research team that developed the </w:t>
      </w:r>
      <w:hyperlink r:id="rId8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award-winning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 fault- and attack-resistant peer-to-peer network technology that underlies the LOCKSS network. This was a decentralized consensus system using proof-of-work published more than five years before Satoshi Nakamoto published the Bitcoin protocol, for a different application.</w:t>
      </w:r>
    </w:p>
    <w:p w14:paraId="4EAC446C" w14:textId="77777777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B5F44E5" w14:textId="5270DBC7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55B">
        <w:rPr>
          <w:rFonts w:ascii="Calibri" w:eastAsia="Times New Roman" w:hAnsi="Calibri" w:cs="Calibri"/>
          <w:color w:val="222222"/>
          <w:sz w:val="22"/>
          <w:szCs w:val="22"/>
        </w:rPr>
        <w:t>David </w:t>
      </w:r>
      <w:hyperlink r:id="rId9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started blogging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 in 2007 at</w:t>
      </w:r>
      <w:hyperlink r:id="rId10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</w:rPr>
          <w:t> </w:t>
        </w:r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https://blog.dshr.org/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. As well as the LOCKSS technology, he has written on </w:t>
      </w:r>
      <w:hyperlink r:id="rId11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economic models for long-term storage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 </w:t>
      </w:r>
      <w:hyperlink r:id="rId12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emulation as a preservation strategy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 </w:t>
      </w:r>
      <w:hyperlink r:id="rId13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 xml:space="preserve">DNA as a storage </w:t>
        </w:r>
        <w:bookmarkStart w:id="0" w:name="_GoBack"/>
        <w:bookmarkEnd w:id="0"/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medium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 the </w:t>
      </w:r>
      <w:hyperlink r:id="rId14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decentralized Web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 the </w:t>
      </w:r>
      <w:hyperlink r:id="rId15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economics of peer-to-peer systems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 and many other topics. The blog features the complete text of his </w:t>
      </w:r>
      <w:hyperlink r:id="rId16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many presentations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 with links to the sources, and expanded versions of some of his recent technical publications.</w:t>
      </w:r>
    </w:p>
    <w:p w14:paraId="6D4D884D" w14:textId="77777777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EEFE0B" w14:textId="10E2F13E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55B">
        <w:rPr>
          <w:rFonts w:ascii="Calibri" w:eastAsia="Times New Roman" w:hAnsi="Calibri" w:cs="Calibri"/>
          <w:color w:val="222222"/>
          <w:sz w:val="22"/>
          <w:szCs w:val="22"/>
        </w:rPr>
        <w:t>David joined Sun Microsystems in 1985 from the </w:t>
      </w:r>
      <w:hyperlink r:id="rId17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Andrew project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 at Carnegie-Mellon University, where he had worked on window systems with James Gosling. He worked on window systems with James at </w:t>
      </w:r>
      <w:proofErr w:type="gram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Sun, and</w:t>
      </w:r>
      <w:proofErr w:type="gram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 was part of the teams which developed both </w:t>
      </w:r>
      <w:proofErr w:type="spell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NeWS</w:t>
      </w:r>
      <w:proofErr w:type="spell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 and the X Window System, now the open-source standard. He also worked on graphics hardware, the operating system kernel, and on system and network administration.</w:t>
      </w:r>
    </w:p>
    <w:p w14:paraId="627F968E" w14:textId="77777777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388D5151" w14:textId="0B94B20F" w:rsid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David left Sun in 1993 to be Chief Scientist and employee #4 at Nvidia, now the leading supplier of high-performance graphics chips for the PC industry, where he worked on I/O architecture. In 1996 he joined </w:t>
      </w:r>
      <w:proofErr w:type="spell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Vitria</w:t>
      </w:r>
      <w:proofErr w:type="spell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 Technology, now a leading supplier of e-business infrastructure technology. There, he worked on reliable multicast protocols and on testing industrial-strength software.</w:t>
      </w:r>
    </w:p>
    <w:p w14:paraId="735E3C14" w14:textId="20756180" w:rsidR="00CB655B" w:rsidRPr="00CB655B" w:rsidRDefault="00CB655B" w:rsidP="00CB655B">
      <w:pPr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55B">
        <w:rPr>
          <w:rFonts w:ascii="Calibri" w:eastAsia="Times New Roman" w:hAnsi="Calibri" w:cs="Calibri"/>
          <w:color w:val="222222"/>
          <w:sz w:val="22"/>
          <w:szCs w:val="22"/>
        </w:rPr>
        <w:br/>
        <w:t>David was educated at the </w:t>
      </w:r>
      <w:hyperlink r:id="rId18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Haberdashers' Aske's School, Elstree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 at a time when it was a "</w:t>
      </w:r>
      <w:hyperlink r:id="rId19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direct grant school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". He received an MA degree from Trinity College, Cambridge and a Ph.D. from Imperial College, London. From 1976 to 1983 he was a post-doc at </w:t>
      </w:r>
      <w:proofErr w:type="spell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EdCAAD</w:t>
      </w:r>
      <w:proofErr w:type="spell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 Edinburgh University's computer-aided architectural design group run by </w:t>
      </w:r>
      <w:proofErr w:type="spell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fldChar w:fldCharType="begin"/>
      </w:r>
      <w:r w:rsidRPr="00CB655B">
        <w:rPr>
          <w:rFonts w:ascii="Calibri" w:eastAsia="Times New Roman" w:hAnsi="Calibri" w:cs="Calibri"/>
          <w:color w:val="222222"/>
          <w:sz w:val="22"/>
          <w:szCs w:val="22"/>
        </w:rPr>
        <w:instrText xml:space="preserve"> HYPERLINK "http://www.stellenboschwriters.com/bijla.html" </w:instrText>
      </w:r>
      <w:r w:rsidRPr="00CB655B">
        <w:rPr>
          <w:rFonts w:ascii="Calibri" w:eastAsia="Times New Roman" w:hAnsi="Calibri" w:cs="Calibri"/>
          <w:color w:val="222222"/>
          <w:sz w:val="22"/>
          <w:szCs w:val="22"/>
        </w:rPr>
        <w:fldChar w:fldCharType="separate"/>
      </w:r>
      <w:r w:rsidRPr="00CB655B">
        <w:rPr>
          <w:rFonts w:ascii="Calibri" w:eastAsia="Times New Roman" w:hAnsi="Calibri" w:cs="Calibri"/>
          <w:color w:val="888888"/>
          <w:sz w:val="22"/>
          <w:szCs w:val="22"/>
          <w:u w:val="single"/>
        </w:rPr>
        <w:t>Aart</w:t>
      </w:r>
      <w:proofErr w:type="spellEnd"/>
      <w:r w:rsidRPr="00CB655B">
        <w:rPr>
          <w:rFonts w:ascii="Calibri" w:eastAsia="Times New Roman" w:hAnsi="Calibri" w:cs="Calibri"/>
          <w:color w:val="888888"/>
          <w:sz w:val="22"/>
          <w:szCs w:val="22"/>
          <w:u w:val="single"/>
        </w:rPr>
        <w:t xml:space="preserve"> Bijl</w:t>
      </w:r>
      <w:r w:rsidRPr="00CB655B">
        <w:rPr>
          <w:rFonts w:ascii="Calibri" w:eastAsia="Times New Roman" w:hAnsi="Calibri" w:cs="Calibri"/>
          <w:color w:val="222222"/>
          <w:sz w:val="22"/>
          <w:szCs w:val="22"/>
        </w:rPr>
        <w:fldChar w:fldCharType="end"/>
      </w:r>
      <w:r w:rsidRPr="00CB655B">
        <w:rPr>
          <w:rFonts w:ascii="Calibri" w:eastAsia="Times New Roman" w:hAnsi="Calibri" w:cs="Calibri"/>
          <w:color w:val="222222"/>
          <w:sz w:val="22"/>
          <w:szCs w:val="22"/>
        </w:rPr>
        <w:t>, including spending 1982 on sabbatical teaching at the </w:t>
      </w:r>
      <w:hyperlink r:id="rId20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Universiteit van Amsterdam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 and researching at what was then the </w:t>
      </w:r>
      <w:proofErr w:type="spellStart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>Mathematisch</w:t>
      </w:r>
      <w:proofErr w:type="spellEnd"/>
      <w:r w:rsidRPr="00CB655B">
        <w:rPr>
          <w:rFonts w:ascii="Calibri" w:eastAsia="Times New Roman" w:hAnsi="Calibri" w:cs="Calibri"/>
          <w:color w:val="222222"/>
          <w:sz w:val="22"/>
          <w:szCs w:val="22"/>
        </w:rPr>
        <w:t xml:space="preserve"> Centrum, and is now the </w:t>
      </w:r>
      <w:hyperlink r:id="rId21" w:history="1"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 xml:space="preserve">Centrum </w:t>
        </w:r>
        <w:proofErr w:type="spellStart"/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>Wiskunde</w:t>
        </w:r>
        <w:proofErr w:type="spellEnd"/>
        <w:r w:rsidRPr="00CB655B">
          <w:rPr>
            <w:rFonts w:ascii="Calibri" w:eastAsia="Times New Roman" w:hAnsi="Calibri" w:cs="Calibri"/>
            <w:color w:val="888888"/>
            <w:sz w:val="22"/>
            <w:szCs w:val="22"/>
            <w:u w:val="single"/>
          </w:rPr>
          <w:t xml:space="preserve"> &amp; Informatica</w:t>
        </w:r>
      </w:hyperlink>
      <w:r w:rsidRPr="00CB655B">
        <w:rPr>
          <w:rFonts w:ascii="Calibri" w:eastAsia="Times New Roman" w:hAnsi="Calibri" w:cs="Calibri"/>
          <w:color w:val="222222"/>
          <w:sz w:val="22"/>
          <w:szCs w:val="22"/>
        </w:rPr>
        <w:t>. He is the author of many technical publications and holds 23 patents. His interests include backpacking and the theater.</w:t>
      </w:r>
    </w:p>
    <w:p w14:paraId="1AE5475E" w14:textId="77777777" w:rsidR="00DF0217" w:rsidRPr="00CB655B" w:rsidRDefault="00DF0217" w:rsidP="00CB655B">
      <w:pPr>
        <w:jc w:val="both"/>
        <w:rPr>
          <w:rFonts w:ascii="Calibri" w:hAnsi="Calibri" w:cs="Calibri"/>
          <w:sz w:val="22"/>
          <w:szCs w:val="22"/>
        </w:rPr>
      </w:pPr>
    </w:p>
    <w:sectPr w:rsidR="00DF0217" w:rsidRPr="00CB655B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5B"/>
    <w:rsid w:val="00CB655B"/>
    <w:rsid w:val="00D4607E"/>
    <w:rsid w:val="00D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D220"/>
  <w15:chartTrackingRefBased/>
  <w15:docId w15:val="{069F3209-BBF1-FB45-9A79-F87E363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65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65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B655B"/>
  </w:style>
  <w:style w:type="character" w:styleId="Hyperlink">
    <w:name w:val="Hyperlink"/>
    <w:basedOn w:val="DefaultParagraphFont"/>
    <w:uiPriority w:val="99"/>
    <w:semiHidden/>
    <w:unhideWhenUsed/>
    <w:rsid w:val="00CB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45/945445.945451" TargetMode="External"/><Relationship Id="rId13" Type="http://schemas.openxmlformats.org/officeDocument/2006/relationships/hyperlink" Target="https://blog.dshr.org/2018/02/dnas-niche-in-storage-market.html" TargetMode="External"/><Relationship Id="rId18" Type="http://schemas.openxmlformats.org/officeDocument/2006/relationships/hyperlink" Target="https://en.wikipedia.org/wiki/Haberdashers%27_Aske%27s_Boys%27_Scho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wi.nl/" TargetMode="External"/><Relationship Id="rId7" Type="http://schemas.openxmlformats.org/officeDocument/2006/relationships/hyperlink" Target="https://www.usenix.org/event/bsdcon03/tech/full_papers/rosenthal/rosenthal_html/" TargetMode="External"/><Relationship Id="rId12" Type="http://schemas.openxmlformats.org/officeDocument/2006/relationships/hyperlink" Target="https://mellon.org/Rosenthal-Emulation-2015" TargetMode="External"/><Relationship Id="rId17" Type="http://schemas.openxmlformats.org/officeDocument/2006/relationships/hyperlink" Target="https://doi.org/10.1145/5666.5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.dshr.org/p/blog-page_7.html" TargetMode="External"/><Relationship Id="rId20" Type="http://schemas.openxmlformats.org/officeDocument/2006/relationships/hyperlink" Target="http://www.uva.n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ckss.org/" TargetMode="External"/><Relationship Id="rId11" Type="http://schemas.openxmlformats.org/officeDocument/2006/relationships/hyperlink" Target="http://blog.dshr.org/2016/12/the-medium-term-prospects-for-long-term.html" TargetMode="External"/><Relationship Id="rId5" Type="http://schemas.openxmlformats.org/officeDocument/2006/relationships/hyperlink" Target="https://blog.dshr.org/2013/10/it-was-fifteen-years-ago-today.html" TargetMode="External"/><Relationship Id="rId15" Type="http://schemas.openxmlformats.org/officeDocument/2006/relationships/hyperlink" Target="http://blog.dshr.org/2017/08/economic-model-of-long-term-storag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log.dshr.org/" TargetMode="External"/><Relationship Id="rId19" Type="http://schemas.openxmlformats.org/officeDocument/2006/relationships/hyperlink" Target="https://en.wikipedia.org/wiki/Direct_grant_grammar_schoo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log.dshr.org/2017/04/a-decade-of-blogging.html" TargetMode="External"/><Relationship Id="rId14" Type="http://schemas.openxmlformats.org/officeDocument/2006/relationships/hyperlink" Target="https://blog.dshr.org/2018/01/it-isnt-about-technolog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2019-07-22T17:56:00Z</dcterms:created>
  <dcterms:modified xsi:type="dcterms:W3CDTF">2019-07-22T17:59:00Z</dcterms:modified>
</cp:coreProperties>
</file>