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F89C" w14:textId="487A1B75" w:rsidR="00186ACD" w:rsidRPr="00186ACD" w:rsidRDefault="00186ACD" w:rsidP="00186ACD">
      <w:pPr>
        <w:spacing w:before="161" w:line="1080" w:lineRule="atLeast"/>
        <w:outlineLvl w:val="0"/>
        <w:rPr>
          <w:rFonts w:ascii="Urwdin Demi" w:eastAsia="Times New Roman" w:hAnsi="Urwdin Demi" w:cs="Arial"/>
          <w:b/>
          <w:bCs/>
          <w:caps/>
          <w:color w:val="00558C"/>
          <w:spacing w:val="-45"/>
          <w:kern w:val="36"/>
          <w:sz w:val="108"/>
          <w:szCs w:val="108"/>
        </w:rPr>
      </w:pPr>
      <w:r>
        <w:rPr>
          <w:rFonts w:ascii="Urwdin Demi" w:eastAsia="Times New Roman" w:hAnsi="Urwdin Demi" w:cs="Arial"/>
          <w:caps/>
          <w:noProof/>
          <w:color w:val="00558C"/>
          <w:sz w:val="23"/>
          <w:szCs w:val="23"/>
        </w:rPr>
        <w:drawing>
          <wp:anchor distT="0" distB="0" distL="114300" distR="114300" simplePos="0" relativeHeight="251658240" behindDoc="0" locked="0" layoutInCell="1" allowOverlap="1" wp14:anchorId="4F9F634B" wp14:editId="7A54ABC4">
            <wp:simplePos x="0" y="0"/>
            <wp:positionH relativeFrom="margin">
              <wp:posOffset>3698111</wp:posOffset>
            </wp:positionH>
            <wp:positionV relativeFrom="margin">
              <wp:posOffset>225425</wp:posOffset>
            </wp:positionV>
            <wp:extent cx="2204085" cy="2755265"/>
            <wp:effectExtent l="0" t="0" r="571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_HighRes_BehnamBenTalebl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4085" cy="2755265"/>
                    </a:xfrm>
                    <a:prstGeom prst="rect">
                      <a:avLst/>
                    </a:prstGeom>
                  </pic:spPr>
                </pic:pic>
              </a:graphicData>
            </a:graphic>
            <wp14:sizeRelH relativeFrom="margin">
              <wp14:pctWidth>0</wp14:pctWidth>
            </wp14:sizeRelH>
            <wp14:sizeRelV relativeFrom="margin">
              <wp14:pctHeight>0</wp14:pctHeight>
            </wp14:sizeRelV>
          </wp:anchor>
        </w:drawing>
      </w:r>
      <w:r w:rsidRPr="00186ACD">
        <w:rPr>
          <w:rFonts w:ascii="Urwdin Demi" w:eastAsia="Times New Roman" w:hAnsi="Urwdin Demi" w:cs="Arial"/>
          <w:b/>
          <w:bCs/>
          <w:caps/>
          <w:color w:val="00558C"/>
          <w:spacing w:val="-45"/>
          <w:kern w:val="36"/>
          <w:sz w:val="108"/>
          <w:szCs w:val="108"/>
        </w:rPr>
        <w:t>BEHNAM BEN TALEBLU</w:t>
      </w:r>
    </w:p>
    <w:p w14:paraId="45955F8C" w14:textId="4E450267" w:rsidR="00186ACD" w:rsidRPr="00186ACD" w:rsidRDefault="00186ACD" w:rsidP="00186ACD">
      <w:pPr>
        <w:spacing w:after="450" w:line="510" w:lineRule="atLeast"/>
        <w:rPr>
          <w:rFonts w:ascii="Times New Roman" w:eastAsia="Times New Roman" w:hAnsi="Times New Roman" w:cs="Times New Roman"/>
          <w:i/>
          <w:iCs/>
          <w:color w:val="3A5B70"/>
        </w:rPr>
      </w:pPr>
      <w:r w:rsidRPr="00186ACD">
        <w:rPr>
          <w:rFonts w:ascii="Times New Roman" w:eastAsia="Times New Roman" w:hAnsi="Times New Roman" w:cs="Times New Roman"/>
          <w:i/>
          <w:iCs/>
          <w:color w:val="3A5B70"/>
        </w:rPr>
        <w:t>Senior Fellow</w:t>
      </w:r>
    </w:p>
    <w:p w14:paraId="0E7F66C3" w14:textId="3A9768BC" w:rsidR="00186ACD" w:rsidRPr="00186ACD" w:rsidRDefault="00186ACD" w:rsidP="00186ACD">
      <w:pPr>
        <w:spacing w:line="255" w:lineRule="atLeast"/>
        <w:rPr>
          <w:rFonts w:ascii="Urwdin Demi" w:eastAsia="Times New Roman" w:hAnsi="Urwdin Demi" w:cs="Arial"/>
          <w:caps/>
          <w:color w:val="00558C"/>
          <w:sz w:val="23"/>
          <w:szCs w:val="23"/>
        </w:rPr>
      </w:pPr>
      <w:r w:rsidRPr="00186ACD">
        <w:rPr>
          <w:rFonts w:ascii="Urwdin Demi" w:eastAsia="Times New Roman" w:hAnsi="Urwdin Demi" w:cs="Arial"/>
          <w:caps/>
          <w:color w:val="00558C"/>
          <w:sz w:val="23"/>
          <w:szCs w:val="23"/>
        </w:rPr>
        <w:t>EXPERTISE:</w:t>
      </w:r>
    </w:p>
    <w:p w14:paraId="489605B4" w14:textId="77777777" w:rsidR="00186ACD" w:rsidRPr="00186ACD" w:rsidRDefault="00186ACD" w:rsidP="00186ACD">
      <w:pPr>
        <w:rPr>
          <w:rFonts w:ascii="Arial" w:eastAsia="Times New Roman" w:hAnsi="Arial" w:cs="Arial"/>
          <w:color w:val="000000"/>
        </w:rPr>
      </w:pPr>
      <w:hyperlink r:id="rId5" w:history="1">
        <w:r w:rsidRPr="00186ACD">
          <w:rPr>
            <w:rFonts w:ascii="Urwdin Demi" w:eastAsia="Times New Roman" w:hAnsi="Urwdin Demi" w:cs="Arial"/>
            <w:caps/>
            <w:color w:val="00558C"/>
            <w:sz w:val="23"/>
            <w:szCs w:val="23"/>
          </w:rPr>
          <w:t>IRAN</w:t>
        </w:r>
      </w:hyperlink>
      <w:r w:rsidRPr="00186ACD">
        <w:rPr>
          <w:rFonts w:ascii="Arial" w:eastAsia="Times New Roman" w:hAnsi="Arial" w:cs="Arial"/>
          <w:color w:val="000000"/>
        </w:rPr>
        <w:t>, </w:t>
      </w:r>
      <w:hyperlink r:id="rId6" w:history="1">
        <w:r w:rsidRPr="00186ACD">
          <w:rPr>
            <w:rFonts w:ascii="Urwdin Demi" w:eastAsia="Times New Roman" w:hAnsi="Urwdin Demi" w:cs="Arial"/>
            <w:caps/>
            <w:color w:val="00558C"/>
            <w:sz w:val="23"/>
            <w:szCs w:val="23"/>
          </w:rPr>
          <w:t>IRAN GLOBAL THREAT NETWORK</w:t>
        </w:r>
      </w:hyperlink>
      <w:r w:rsidRPr="00186ACD">
        <w:rPr>
          <w:rFonts w:ascii="Arial" w:eastAsia="Times New Roman" w:hAnsi="Arial" w:cs="Arial"/>
          <w:color w:val="000000"/>
        </w:rPr>
        <w:t>, </w:t>
      </w:r>
      <w:hyperlink r:id="rId7" w:history="1">
        <w:r w:rsidRPr="00186ACD">
          <w:rPr>
            <w:rFonts w:ascii="Urwdin Demi" w:eastAsia="Times New Roman" w:hAnsi="Urwdin Demi" w:cs="Arial"/>
            <w:caps/>
            <w:color w:val="00558C"/>
            <w:sz w:val="23"/>
            <w:szCs w:val="23"/>
          </w:rPr>
          <w:t>IRAN HUMAN RIGHTS</w:t>
        </w:r>
      </w:hyperlink>
      <w:r w:rsidRPr="00186ACD">
        <w:rPr>
          <w:rFonts w:ascii="Arial" w:eastAsia="Times New Roman" w:hAnsi="Arial" w:cs="Arial"/>
          <w:color w:val="000000"/>
        </w:rPr>
        <w:t>, </w:t>
      </w:r>
      <w:hyperlink r:id="rId8" w:history="1">
        <w:r w:rsidRPr="00186ACD">
          <w:rPr>
            <w:rFonts w:ascii="Urwdin Demi" w:eastAsia="Times New Roman" w:hAnsi="Urwdin Demi" w:cs="Arial"/>
            <w:caps/>
            <w:color w:val="00558C"/>
            <w:sz w:val="23"/>
            <w:szCs w:val="23"/>
          </w:rPr>
          <w:t>IRAN MISSILES</w:t>
        </w:r>
      </w:hyperlink>
      <w:r w:rsidRPr="00186ACD">
        <w:rPr>
          <w:rFonts w:ascii="Arial" w:eastAsia="Times New Roman" w:hAnsi="Arial" w:cs="Arial"/>
          <w:color w:val="000000"/>
        </w:rPr>
        <w:t>, </w:t>
      </w:r>
      <w:hyperlink r:id="rId9" w:history="1">
        <w:r w:rsidRPr="00186ACD">
          <w:rPr>
            <w:rFonts w:ascii="Urwdin Demi" w:eastAsia="Times New Roman" w:hAnsi="Urwdin Demi" w:cs="Arial"/>
            <w:caps/>
            <w:color w:val="00558C"/>
            <w:sz w:val="23"/>
            <w:szCs w:val="23"/>
          </w:rPr>
          <w:t>IRAN POLITICS AND ECONOMY</w:t>
        </w:r>
      </w:hyperlink>
      <w:r w:rsidRPr="00186ACD">
        <w:rPr>
          <w:rFonts w:ascii="Arial" w:eastAsia="Times New Roman" w:hAnsi="Arial" w:cs="Arial"/>
          <w:color w:val="000000"/>
        </w:rPr>
        <w:t>,</w:t>
      </w:r>
      <w:hyperlink r:id="rId10" w:history="1">
        <w:r w:rsidRPr="00186ACD">
          <w:rPr>
            <w:rFonts w:ascii="Urwdin Demi" w:eastAsia="Times New Roman" w:hAnsi="Urwdin Demi" w:cs="Arial"/>
            <w:caps/>
            <w:color w:val="00558C"/>
            <w:sz w:val="23"/>
            <w:szCs w:val="23"/>
          </w:rPr>
          <w:t>IRAN SANCTIONS</w:t>
        </w:r>
      </w:hyperlink>
      <w:r w:rsidRPr="00186ACD">
        <w:rPr>
          <w:rFonts w:ascii="Arial" w:eastAsia="Times New Roman" w:hAnsi="Arial" w:cs="Arial"/>
          <w:color w:val="000000"/>
        </w:rPr>
        <w:t>, </w:t>
      </w:r>
      <w:hyperlink r:id="rId11" w:history="1">
        <w:r w:rsidRPr="00186ACD">
          <w:rPr>
            <w:rFonts w:ascii="Urwdin Demi" w:eastAsia="Times New Roman" w:hAnsi="Urwdin Demi" w:cs="Arial"/>
            <w:caps/>
            <w:color w:val="00558C"/>
            <w:sz w:val="23"/>
            <w:szCs w:val="23"/>
          </w:rPr>
          <w:t>SANCTIONS AND ILLICIT FINANCE</w:t>
        </w:r>
      </w:hyperlink>
    </w:p>
    <w:p w14:paraId="06EFDA53" w14:textId="77777777" w:rsidR="00186ACD" w:rsidRDefault="00186ACD" w:rsidP="00186ACD">
      <w:pPr>
        <w:spacing w:line="255" w:lineRule="atLeast"/>
        <w:rPr>
          <w:rFonts w:ascii="Urwdin Demi" w:eastAsia="Times New Roman" w:hAnsi="Urwdin Demi" w:cs="Arial"/>
          <w:caps/>
          <w:color w:val="00558C"/>
          <w:sz w:val="23"/>
          <w:szCs w:val="23"/>
        </w:rPr>
      </w:pPr>
    </w:p>
    <w:p w14:paraId="3E65B371" w14:textId="04673884" w:rsidR="00186ACD" w:rsidRPr="00186ACD" w:rsidRDefault="00186ACD" w:rsidP="00186ACD">
      <w:pPr>
        <w:spacing w:line="255" w:lineRule="atLeast"/>
        <w:rPr>
          <w:rFonts w:ascii="Urwdin Demi" w:eastAsia="Times New Roman" w:hAnsi="Urwdin Demi" w:cs="Arial"/>
          <w:caps/>
          <w:color w:val="00558C"/>
          <w:sz w:val="23"/>
          <w:szCs w:val="23"/>
        </w:rPr>
      </w:pPr>
      <w:r w:rsidRPr="00186ACD">
        <w:rPr>
          <w:rFonts w:ascii="Urwdin Demi" w:eastAsia="Times New Roman" w:hAnsi="Urwdin Demi" w:cs="Arial"/>
          <w:caps/>
          <w:color w:val="00558C"/>
          <w:sz w:val="23"/>
          <w:szCs w:val="23"/>
        </w:rPr>
        <w:t>PROJECTS: </w:t>
      </w:r>
    </w:p>
    <w:p w14:paraId="5EA1C2DA" w14:textId="77777777" w:rsidR="00186ACD" w:rsidRPr="00186ACD" w:rsidRDefault="00186ACD" w:rsidP="00186ACD">
      <w:pPr>
        <w:rPr>
          <w:rFonts w:ascii="Arial" w:eastAsia="Times New Roman" w:hAnsi="Arial" w:cs="Arial"/>
          <w:color w:val="000000"/>
        </w:rPr>
      </w:pPr>
      <w:hyperlink r:id="rId12" w:history="1">
        <w:r w:rsidRPr="00186ACD">
          <w:rPr>
            <w:rFonts w:ascii="Urwdin Demi" w:eastAsia="Times New Roman" w:hAnsi="Urwdin Demi" w:cs="Arial"/>
            <w:caps/>
            <w:color w:val="00558C"/>
            <w:sz w:val="23"/>
            <w:szCs w:val="23"/>
          </w:rPr>
          <w:t>IRAN PROGRAM</w:t>
        </w:r>
      </w:hyperlink>
      <w:r w:rsidRPr="00186ACD">
        <w:rPr>
          <w:rFonts w:ascii="Arial" w:eastAsia="Times New Roman" w:hAnsi="Arial" w:cs="Arial"/>
          <w:color w:val="000000"/>
        </w:rPr>
        <w:t>, </w:t>
      </w:r>
      <w:hyperlink r:id="rId13" w:history="1">
        <w:r w:rsidRPr="00186ACD">
          <w:rPr>
            <w:rFonts w:ascii="Urwdin Demi" w:eastAsia="Times New Roman" w:hAnsi="Urwdin Demi" w:cs="Arial"/>
            <w:caps/>
            <w:color w:val="00558C"/>
            <w:sz w:val="23"/>
            <w:szCs w:val="23"/>
          </w:rPr>
          <w:t>CENTER ON ECONOMIC AND FINANCIAL POWER</w:t>
        </w:r>
      </w:hyperlink>
      <w:r w:rsidRPr="00186ACD">
        <w:rPr>
          <w:rFonts w:ascii="Arial" w:eastAsia="Times New Roman" w:hAnsi="Arial" w:cs="Arial"/>
          <w:color w:val="000000"/>
        </w:rPr>
        <w:t>, </w:t>
      </w:r>
      <w:hyperlink r:id="rId14" w:history="1">
        <w:r w:rsidRPr="00186ACD">
          <w:rPr>
            <w:rFonts w:ascii="Urwdin Demi" w:eastAsia="Times New Roman" w:hAnsi="Urwdin Demi" w:cs="Arial"/>
            <w:caps/>
            <w:color w:val="00558C"/>
            <w:sz w:val="23"/>
            <w:szCs w:val="23"/>
          </w:rPr>
          <w:t>CENTER ON MILITARY AND POLITICAL POWER</w:t>
        </w:r>
      </w:hyperlink>
    </w:p>
    <w:p w14:paraId="19AEE236" w14:textId="77777777" w:rsidR="00186ACD" w:rsidRDefault="00186ACD" w:rsidP="00186ACD">
      <w:pPr>
        <w:rPr>
          <w:rFonts w:ascii="Arial" w:eastAsia="Times New Roman" w:hAnsi="Arial" w:cs="Arial"/>
          <w:color w:val="000000"/>
        </w:rPr>
      </w:pPr>
    </w:p>
    <w:p w14:paraId="6C51423E" w14:textId="77777777" w:rsidR="00186ACD" w:rsidRDefault="00186ACD" w:rsidP="00186ACD">
      <w:pPr>
        <w:rPr>
          <w:rFonts w:ascii="Urwdin Bold" w:eastAsia="Times New Roman" w:hAnsi="Urwdin Bold" w:cs="Times New Roman"/>
          <w:b/>
          <w:bCs/>
          <w:caps/>
          <w:color w:val="0E344D"/>
          <w:spacing w:val="-8"/>
          <w:sz w:val="30"/>
          <w:szCs w:val="30"/>
        </w:rPr>
      </w:pPr>
      <w:bookmarkStart w:id="0" w:name="_GoBack"/>
      <w:bookmarkEnd w:id="0"/>
    </w:p>
    <w:p w14:paraId="64CDE7D8" w14:textId="6528E11F" w:rsidR="00186ACD" w:rsidRPr="00186ACD" w:rsidRDefault="00186ACD" w:rsidP="00186ACD">
      <w:pPr>
        <w:rPr>
          <w:rFonts w:ascii="Arial" w:eastAsia="Times New Roman" w:hAnsi="Arial" w:cs="Arial"/>
          <w:color w:val="000000"/>
        </w:rPr>
      </w:pPr>
      <w:r w:rsidRPr="00186ACD">
        <w:rPr>
          <w:rFonts w:ascii="Urwdin Bold" w:eastAsia="Times New Roman" w:hAnsi="Urwdin Bold" w:cs="Times New Roman"/>
          <w:b/>
          <w:bCs/>
          <w:caps/>
          <w:color w:val="0E344D"/>
          <w:spacing w:val="-8"/>
          <w:sz w:val="30"/>
          <w:szCs w:val="30"/>
        </w:rPr>
        <w:t>BIOGRAPHY</w:t>
      </w:r>
    </w:p>
    <w:p w14:paraId="4A444181" w14:textId="77777777" w:rsidR="00186ACD" w:rsidRPr="00186ACD" w:rsidRDefault="00186ACD" w:rsidP="00186ACD">
      <w:pPr>
        <w:spacing w:before="450" w:after="450" w:line="510" w:lineRule="atLeast"/>
        <w:jc w:val="both"/>
        <w:rPr>
          <w:rFonts w:ascii="Times New Roman" w:eastAsia="Times New Roman" w:hAnsi="Times New Roman" w:cs="Times New Roman"/>
          <w:color w:val="3A5B70"/>
          <w:sz w:val="29"/>
          <w:szCs w:val="29"/>
        </w:rPr>
      </w:pPr>
      <w:r w:rsidRPr="00186ACD">
        <w:rPr>
          <w:rFonts w:ascii="Times New Roman" w:eastAsia="Times New Roman" w:hAnsi="Times New Roman" w:cs="Times New Roman"/>
          <w:color w:val="3A5B70"/>
          <w:sz w:val="29"/>
          <w:szCs w:val="29"/>
        </w:rPr>
        <w:t xml:space="preserve">Behnam Ben </w:t>
      </w:r>
      <w:proofErr w:type="spellStart"/>
      <w:r w:rsidRPr="00186ACD">
        <w:rPr>
          <w:rFonts w:ascii="Times New Roman" w:eastAsia="Times New Roman" w:hAnsi="Times New Roman" w:cs="Times New Roman"/>
          <w:color w:val="3A5B70"/>
          <w:sz w:val="29"/>
          <w:szCs w:val="29"/>
        </w:rPr>
        <w:t>Taleblu</w:t>
      </w:r>
      <w:proofErr w:type="spellEnd"/>
      <w:r w:rsidRPr="00186ACD">
        <w:rPr>
          <w:rFonts w:ascii="Times New Roman" w:eastAsia="Times New Roman" w:hAnsi="Times New Roman" w:cs="Times New Roman"/>
          <w:color w:val="3A5B70"/>
          <w:sz w:val="29"/>
          <w:szCs w:val="29"/>
        </w:rPr>
        <w:t xml:space="preserve"> is a senior fellow at FDD where he focuses on Iranian security and political issues. Behnam previously served as a research fellow and senior Iran analyst at FDD. Prior to his time at FDD, Behnam worked on non-proliferation issues at an arms control think-tank in Washington. Leveraging his subject-matter expertise and native Farsi skills, Behnam has closely tracked a wide range of Iran-related topics </w:t>
      </w:r>
      <w:proofErr w:type="gramStart"/>
      <w:r w:rsidRPr="00186ACD">
        <w:rPr>
          <w:rFonts w:ascii="Times New Roman" w:eastAsia="Times New Roman" w:hAnsi="Times New Roman" w:cs="Times New Roman"/>
          <w:color w:val="3A5B70"/>
          <w:sz w:val="29"/>
          <w:szCs w:val="29"/>
        </w:rPr>
        <w:t>including:</w:t>
      </w:r>
      <w:proofErr w:type="gramEnd"/>
      <w:r w:rsidRPr="00186ACD">
        <w:rPr>
          <w:rFonts w:ascii="Times New Roman" w:eastAsia="Times New Roman" w:hAnsi="Times New Roman" w:cs="Times New Roman"/>
          <w:color w:val="3A5B70"/>
          <w:sz w:val="29"/>
          <w:szCs w:val="29"/>
        </w:rPr>
        <w:t xml:space="preserve"> nuclear non-proliferation, ballistic missiles, sanctions, the Islamic Revolutionary Guard Corps, the foreign and security policy of the Islamic Republic, and internal Iranian politics. Frequently called upon to brief journalists, congressional staff, and other Washington-</w:t>
      </w:r>
      <w:r w:rsidRPr="00186ACD">
        <w:rPr>
          <w:rFonts w:ascii="Times New Roman" w:eastAsia="Times New Roman" w:hAnsi="Times New Roman" w:cs="Times New Roman"/>
          <w:color w:val="3A5B70"/>
          <w:sz w:val="29"/>
          <w:szCs w:val="29"/>
        </w:rPr>
        <w:lastRenderedPageBreak/>
        <w:t>audiences, Behnam has also testified before the U.S. Congress and Canadian Parliament.</w:t>
      </w:r>
    </w:p>
    <w:p w14:paraId="3791CB41" w14:textId="77777777" w:rsidR="00186ACD" w:rsidRPr="00186ACD" w:rsidRDefault="00186ACD" w:rsidP="00186ACD">
      <w:pPr>
        <w:spacing w:line="510" w:lineRule="atLeast"/>
        <w:jc w:val="both"/>
        <w:rPr>
          <w:rFonts w:ascii="Times New Roman" w:eastAsia="Times New Roman" w:hAnsi="Times New Roman" w:cs="Times New Roman"/>
          <w:color w:val="3A5B70"/>
          <w:sz w:val="29"/>
          <w:szCs w:val="29"/>
        </w:rPr>
      </w:pPr>
      <w:r w:rsidRPr="00186ACD">
        <w:rPr>
          <w:rFonts w:ascii="Times New Roman" w:eastAsia="Times New Roman" w:hAnsi="Times New Roman" w:cs="Times New Roman"/>
          <w:color w:val="3A5B70"/>
          <w:sz w:val="29"/>
          <w:szCs w:val="29"/>
        </w:rPr>
        <w:t>His analysis has been quoted in </w:t>
      </w:r>
      <w:r w:rsidRPr="00186ACD">
        <w:rPr>
          <w:rFonts w:ascii="Times New Roman" w:eastAsia="Times New Roman" w:hAnsi="Times New Roman" w:cs="Times New Roman"/>
          <w:i/>
          <w:iCs/>
          <w:color w:val="3A5B70"/>
          <w:sz w:val="29"/>
          <w:szCs w:val="29"/>
        </w:rPr>
        <w:t>The Washington Post</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The Wall Street Journal</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Reuters</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Fox News</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The Associated Press</w:t>
      </w:r>
      <w:r w:rsidRPr="00186ACD">
        <w:rPr>
          <w:rFonts w:ascii="Times New Roman" w:eastAsia="Times New Roman" w:hAnsi="Times New Roman" w:cs="Times New Roman"/>
          <w:color w:val="3A5B70"/>
          <w:sz w:val="29"/>
          <w:szCs w:val="29"/>
        </w:rPr>
        <w:t>, and </w:t>
      </w:r>
      <w:proofErr w:type="spellStart"/>
      <w:r w:rsidRPr="00186ACD">
        <w:rPr>
          <w:rFonts w:ascii="Times New Roman" w:eastAsia="Times New Roman" w:hAnsi="Times New Roman" w:cs="Times New Roman"/>
          <w:i/>
          <w:iCs/>
          <w:color w:val="3A5B70"/>
          <w:sz w:val="29"/>
          <w:szCs w:val="29"/>
        </w:rPr>
        <w:t>Agence</w:t>
      </w:r>
      <w:proofErr w:type="spellEnd"/>
      <w:r w:rsidRPr="00186ACD">
        <w:rPr>
          <w:rFonts w:ascii="Times New Roman" w:eastAsia="Times New Roman" w:hAnsi="Times New Roman" w:cs="Times New Roman"/>
          <w:i/>
          <w:iCs/>
          <w:color w:val="3A5B70"/>
          <w:sz w:val="29"/>
          <w:szCs w:val="29"/>
        </w:rPr>
        <w:t xml:space="preserve"> France-Presse</w:t>
      </w:r>
      <w:r w:rsidRPr="00186ACD">
        <w:rPr>
          <w:rFonts w:ascii="Times New Roman" w:eastAsia="Times New Roman" w:hAnsi="Times New Roman" w:cs="Times New Roman"/>
          <w:color w:val="3A5B70"/>
          <w:sz w:val="29"/>
          <w:szCs w:val="29"/>
        </w:rPr>
        <w:t>, among others. Additionally, he has contributed to or co-authored articles for </w:t>
      </w:r>
      <w:r w:rsidRPr="00186ACD">
        <w:rPr>
          <w:rFonts w:ascii="Times New Roman" w:eastAsia="Times New Roman" w:hAnsi="Times New Roman" w:cs="Times New Roman"/>
          <w:i/>
          <w:iCs/>
          <w:color w:val="3A5B70"/>
          <w:sz w:val="29"/>
          <w:szCs w:val="29"/>
        </w:rPr>
        <w:t>Foreign Affairs</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Foreign Policy</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Fox News</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The Hill</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War on the Rocks</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The National Interest</w:t>
      </w:r>
      <w:r w:rsidRPr="00186ACD">
        <w:rPr>
          <w:rFonts w:ascii="Times New Roman" w:eastAsia="Times New Roman" w:hAnsi="Times New Roman" w:cs="Times New Roman"/>
          <w:color w:val="3A5B70"/>
          <w:sz w:val="29"/>
          <w:szCs w:val="29"/>
        </w:rPr>
        <w:t>, and </w:t>
      </w:r>
      <w:r w:rsidRPr="00186ACD">
        <w:rPr>
          <w:rFonts w:ascii="Times New Roman" w:eastAsia="Times New Roman" w:hAnsi="Times New Roman" w:cs="Times New Roman"/>
          <w:i/>
          <w:iCs/>
          <w:color w:val="3A5B70"/>
          <w:sz w:val="29"/>
          <w:szCs w:val="29"/>
        </w:rPr>
        <w:t>U.S. News &amp; World Report</w:t>
      </w:r>
      <w:r w:rsidRPr="00186ACD">
        <w:rPr>
          <w:rFonts w:ascii="Times New Roman" w:eastAsia="Times New Roman" w:hAnsi="Times New Roman" w:cs="Times New Roman"/>
          <w:color w:val="3A5B70"/>
          <w:sz w:val="29"/>
          <w:szCs w:val="29"/>
        </w:rPr>
        <w:t>. Behnam has appeared on a variety of broadcast programs, including </w:t>
      </w:r>
      <w:r w:rsidRPr="00186ACD">
        <w:rPr>
          <w:rFonts w:ascii="Times New Roman" w:eastAsia="Times New Roman" w:hAnsi="Times New Roman" w:cs="Times New Roman"/>
          <w:i/>
          <w:iCs/>
          <w:color w:val="3A5B70"/>
          <w:sz w:val="29"/>
          <w:szCs w:val="29"/>
        </w:rPr>
        <w:t>BBC News</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Fox News</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CBS Interactive</w:t>
      </w:r>
      <w:r w:rsidRPr="00186ACD">
        <w:rPr>
          <w:rFonts w:ascii="Times New Roman" w:eastAsia="Times New Roman" w:hAnsi="Times New Roman" w:cs="Times New Roman"/>
          <w:color w:val="3A5B70"/>
          <w:sz w:val="29"/>
          <w:szCs w:val="29"/>
        </w:rPr>
        <w:t>, </w:t>
      </w:r>
      <w:r w:rsidRPr="00186ACD">
        <w:rPr>
          <w:rFonts w:ascii="Times New Roman" w:eastAsia="Times New Roman" w:hAnsi="Times New Roman" w:cs="Times New Roman"/>
          <w:i/>
          <w:iCs/>
          <w:color w:val="3A5B70"/>
          <w:sz w:val="29"/>
          <w:szCs w:val="29"/>
        </w:rPr>
        <w:t>C-SPAN</w:t>
      </w:r>
      <w:r w:rsidRPr="00186ACD">
        <w:rPr>
          <w:rFonts w:ascii="Times New Roman" w:eastAsia="Times New Roman" w:hAnsi="Times New Roman" w:cs="Times New Roman"/>
          <w:color w:val="3A5B70"/>
          <w:sz w:val="29"/>
          <w:szCs w:val="29"/>
        </w:rPr>
        <w:t>, and </w:t>
      </w:r>
      <w:r w:rsidRPr="00186ACD">
        <w:rPr>
          <w:rFonts w:ascii="Times New Roman" w:eastAsia="Times New Roman" w:hAnsi="Times New Roman" w:cs="Times New Roman"/>
          <w:i/>
          <w:iCs/>
          <w:color w:val="3A5B70"/>
          <w:sz w:val="29"/>
          <w:szCs w:val="29"/>
        </w:rPr>
        <w:t>Defense News</w:t>
      </w:r>
      <w:r w:rsidRPr="00186ACD">
        <w:rPr>
          <w:rFonts w:ascii="Times New Roman" w:eastAsia="Times New Roman" w:hAnsi="Times New Roman" w:cs="Times New Roman"/>
          <w:color w:val="3A5B70"/>
          <w:sz w:val="29"/>
          <w:szCs w:val="29"/>
        </w:rPr>
        <w:t>. Behnam earned his MA in International Relations from The University of Chicago, and his BA in International Affairs and Middle East Studies from The George Washington University’s Elliott School of International Affairs.</w:t>
      </w:r>
    </w:p>
    <w:p w14:paraId="02BEB1D1" w14:textId="77777777" w:rsidR="00FB36A1" w:rsidRDefault="00FB36A1"/>
    <w:sectPr w:rsidR="00FB36A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rwdin Demi">
    <w:altName w:val="Cambria"/>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Urwdin 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CD"/>
    <w:rsid w:val="00186ACD"/>
    <w:rsid w:val="00D4607E"/>
    <w:rsid w:val="00FB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9807"/>
  <w15:chartTrackingRefBased/>
  <w15:docId w15:val="{C8B415D8-2476-B645-B97B-9B3F0AAA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86A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86AC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AC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86ACD"/>
    <w:rPr>
      <w:rFonts w:ascii="Times New Roman" w:eastAsia="Times New Roman" w:hAnsi="Times New Roman" w:cs="Times New Roman"/>
      <w:b/>
      <w:bCs/>
    </w:rPr>
  </w:style>
  <w:style w:type="paragraph" w:styleId="NormalWeb">
    <w:name w:val="Normal (Web)"/>
    <w:basedOn w:val="Normal"/>
    <w:uiPriority w:val="99"/>
    <w:semiHidden/>
    <w:unhideWhenUsed/>
    <w:rsid w:val="00186A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86ACD"/>
    <w:rPr>
      <w:color w:val="0000FF"/>
      <w:u w:val="single"/>
    </w:rPr>
  </w:style>
  <w:style w:type="character" w:customStyle="1" w:styleId="apple-converted-space">
    <w:name w:val="apple-converted-space"/>
    <w:basedOn w:val="DefaultParagraphFont"/>
    <w:rsid w:val="00186ACD"/>
  </w:style>
  <w:style w:type="character" w:styleId="Emphasis">
    <w:name w:val="Emphasis"/>
    <w:basedOn w:val="DefaultParagraphFont"/>
    <w:uiPriority w:val="20"/>
    <w:qFormat/>
    <w:rsid w:val="00186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26409">
      <w:bodyDiv w:val="1"/>
      <w:marLeft w:val="0"/>
      <w:marRight w:val="0"/>
      <w:marTop w:val="0"/>
      <w:marBottom w:val="0"/>
      <w:divBdr>
        <w:top w:val="none" w:sz="0" w:space="0" w:color="auto"/>
        <w:left w:val="none" w:sz="0" w:space="0" w:color="auto"/>
        <w:bottom w:val="none" w:sz="0" w:space="0" w:color="auto"/>
        <w:right w:val="none" w:sz="0" w:space="0" w:color="auto"/>
      </w:divBdr>
      <w:divsChild>
        <w:div w:id="1185362170">
          <w:marLeft w:val="0"/>
          <w:marRight w:val="0"/>
          <w:marTop w:val="0"/>
          <w:marBottom w:val="0"/>
          <w:divBdr>
            <w:top w:val="none" w:sz="0" w:space="0" w:color="auto"/>
            <w:left w:val="none" w:sz="0" w:space="0" w:color="auto"/>
            <w:bottom w:val="none" w:sz="0" w:space="0" w:color="auto"/>
            <w:right w:val="none" w:sz="0" w:space="0" w:color="auto"/>
          </w:divBdr>
          <w:divsChild>
            <w:div w:id="413205563">
              <w:marLeft w:val="0"/>
              <w:marRight w:val="0"/>
              <w:marTop w:val="100"/>
              <w:marBottom w:val="100"/>
              <w:divBdr>
                <w:top w:val="none" w:sz="0" w:space="0" w:color="auto"/>
                <w:left w:val="none" w:sz="0" w:space="0" w:color="auto"/>
                <w:bottom w:val="none" w:sz="0" w:space="0" w:color="auto"/>
                <w:right w:val="none" w:sz="0" w:space="0" w:color="auto"/>
              </w:divBdr>
              <w:divsChild>
                <w:div w:id="1314408511">
                  <w:marLeft w:val="0"/>
                  <w:marRight w:val="0"/>
                  <w:marTop w:val="0"/>
                  <w:marBottom w:val="0"/>
                  <w:divBdr>
                    <w:top w:val="none" w:sz="0" w:space="0" w:color="auto"/>
                    <w:left w:val="none" w:sz="0" w:space="0" w:color="auto"/>
                    <w:bottom w:val="none" w:sz="0" w:space="0" w:color="auto"/>
                    <w:right w:val="none" w:sz="0" w:space="0" w:color="auto"/>
                  </w:divBdr>
                  <w:divsChild>
                    <w:div w:id="1001353130">
                      <w:marLeft w:val="0"/>
                      <w:marRight w:val="0"/>
                      <w:marTop w:val="0"/>
                      <w:marBottom w:val="225"/>
                      <w:divBdr>
                        <w:top w:val="none" w:sz="0" w:space="0" w:color="auto"/>
                        <w:left w:val="none" w:sz="0" w:space="0" w:color="auto"/>
                        <w:bottom w:val="none" w:sz="0" w:space="0" w:color="auto"/>
                        <w:right w:val="none" w:sz="0" w:space="0" w:color="auto"/>
                      </w:divBdr>
                      <w:divsChild>
                        <w:div w:id="401802194">
                          <w:marLeft w:val="0"/>
                          <w:marRight w:val="300"/>
                          <w:marTop w:val="0"/>
                          <w:marBottom w:val="0"/>
                          <w:divBdr>
                            <w:top w:val="none" w:sz="0" w:space="0" w:color="auto"/>
                            <w:left w:val="none" w:sz="0" w:space="0" w:color="auto"/>
                            <w:bottom w:val="none" w:sz="0" w:space="0" w:color="auto"/>
                            <w:right w:val="none" w:sz="0" w:space="0" w:color="auto"/>
                          </w:divBdr>
                        </w:div>
                        <w:div w:id="172427423">
                          <w:marLeft w:val="0"/>
                          <w:marRight w:val="0"/>
                          <w:marTop w:val="0"/>
                          <w:marBottom w:val="0"/>
                          <w:divBdr>
                            <w:top w:val="none" w:sz="0" w:space="0" w:color="auto"/>
                            <w:left w:val="none" w:sz="0" w:space="0" w:color="auto"/>
                            <w:bottom w:val="none" w:sz="0" w:space="0" w:color="auto"/>
                            <w:right w:val="none" w:sz="0" w:space="0" w:color="auto"/>
                          </w:divBdr>
                        </w:div>
                      </w:divsChild>
                    </w:div>
                    <w:div w:id="2068675796">
                      <w:marLeft w:val="0"/>
                      <w:marRight w:val="0"/>
                      <w:marTop w:val="0"/>
                      <w:marBottom w:val="225"/>
                      <w:divBdr>
                        <w:top w:val="none" w:sz="0" w:space="0" w:color="auto"/>
                        <w:left w:val="none" w:sz="0" w:space="0" w:color="auto"/>
                        <w:bottom w:val="none" w:sz="0" w:space="0" w:color="auto"/>
                        <w:right w:val="none" w:sz="0" w:space="0" w:color="auto"/>
                      </w:divBdr>
                      <w:divsChild>
                        <w:div w:id="1689411353">
                          <w:marLeft w:val="0"/>
                          <w:marRight w:val="360"/>
                          <w:marTop w:val="0"/>
                          <w:marBottom w:val="0"/>
                          <w:divBdr>
                            <w:top w:val="none" w:sz="0" w:space="0" w:color="auto"/>
                            <w:left w:val="none" w:sz="0" w:space="0" w:color="auto"/>
                            <w:bottom w:val="none" w:sz="0" w:space="0" w:color="auto"/>
                            <w:right w:val="none" w:sz="0" w:space="0" w:color="auto"/>
                          </w:divBdr>
                        </w:div>
                        <w:div w:id="1691029131">
                          <w:marLeft w:val="0"/>
                          <w:marRight w:val="0"/>
                          <w:marTop w:val="0"/>
                          <w:marBottom w:val="0"/>
                          <w:divBdr>
                            <w:top w:val="none" w:sz="0" w:space="0" w:color="auto"/>
                            <w:left w:val="none" w:sz="0" w:space="0" w:color="auto"/>
                            <w:bottom w:val="none" w:sz="0" w:space="0" w:color="auto"/>
                            <w:right w:val="none" w:sz="0" w:space="0" w:color="auto"/>
                          </w:divBdr>
                        </w:div>
                      </w:divsChild>
                    </w:div>
                    <w:div w:id="269045204">
                      <w:marLeft w:val="0"/>
                      <w:marRight w:val="0"/>
                      <w:marTop w:val="0"/>
                      <w:marBottom w:val="0"/>
                      <w:divBdr>
                        <w:top w:val="none" w:sz="0" w:space="0" w:color="auto"/>
                        <w:left w:val="none" w:sz="0" w:space="0" w:color="auto"/>
                        <w:bottom w:val="none" w:sz="0" w:space="0" w:color="auto"/>
                        <w:right w:val="none" w:sz="0" w:space="0" w:color="auto"/>
                      </w:divBdr>
                    </w:div>
                  </w:divsChild>
                </w:div>
                <w:div w:id="108380066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604995133">
          <w:marLeft w:val="0"/>
          <w:marRight w:val="0"/>
          <w:marTop w:val="0"/>
          <w:marBottom w:val="0"/>
          <w:divBdr>
            <w:top w:val="none" w:sz="0" w:space="0" w:color="auto"/>
            <w:left w:val="none" w:sz="0" w:space="0" w:color="auto"/>
            <w:bottom w:val="none" w:sz="0" w:space="0" w:color="auto"/>
            <w:right w:val="none" w:sz="0" w:space="0" w:color="auto"/>
          </w:divBdr>
          <w:divsChild>
            <w:div w:id="416437275">
              <w:marLeft w:val="0"/>
              <w:marRight w:val="0"/>
              <w:marTop w:val="0"/>
              <w:marBottom w:val="0"/>
              <w:divBdr>
                <w:top w:val="none" w:sz="0" w:space="0" w:color="auto"/>
                <w:left w:val="none" w:sz="0" w:space="0" w:color="auto"/>
                <w:bottom w:val="none" w:sz="0" w:space="0" w:color="auto"/>
                <w:right w:val="none" w:sz="0" w:space="0" w:color="auto"/>
              </w:divBdr>
              <w:divsChild>
                <w:div w:id="20999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d.org/issue/iran-missiles" TargetMode="External"/><Relationship Id="rId13" Type="http://schemas.openxmlformats.org/officeDocument/2006/relationships/hyperlink" Target="https://www.fdd.org/projects/center-on-economic-and-financial-power/" TargetMode="External"/><Relationship Id="rId3" Type="http://schemas.openxmlformats.org/officeDocument/2006/relationships/webSettings" Target="webSettings.xml"/><Relationship Id="rId7" Type="http://schemas.openxmlformats.org/officeDocument/2006/relationships/hyperlink" Target="https://www.fdd.org/issue/iran-human-rights" TargetMode="External"/><Relationship Id="rId12" Type="http://schemas.openxmlformats.org/officeDocument/2006/relationships/hyperlink" Target="https://www.fdd.org/projects/iran-progra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dd.org/issue/iran-global-threat-network" TargetMode="External"/><Relationship Id="rId11" Type="http://schemas.openxmlformats.org/officeDocument/2006/relationships/hyperlink" Target="https://www.fdd.org/issue/sanctions-and-illicit-finance" TargetMode="External"/><Relationship Id="rId5" Type="http://schemas.openxmlformats.org/officeDocument/2006/relationships/hyperlink" Target="https://www.fdd.org/issue/iran" TargetMode="External"/><Relationship Id="rId15" Type="http://schemas.openxmlformats.org/officeDocument/2006/relationships/fontTable" Target="fontTable.xml"/><Relationship Id="rId10" Type="http://schemas.openxmlformats.org/officeDocument/2006/relationships/hyperlink" Target="https://www.fdd.org/issue/iran-sanctions" TargetMode="External"/><Relationship Id="rId4" Type="http://schemas.openxmlformats.org/officeDocument/2006/relationships/image" Target="media/image1.jpeg"/><Relationship Id="rId9" Type="http://schemas.openxmlformats.org/officeDocument/2006/relationships/hyperlink" Target="https://www.fdd.org/issue/iran-politics-and-economy" TargetMode="External"/><Relationship Id="rId14" Type="http://schemas.openxmlformats.org/officeDocument/2006/relationships/hyperlink" Target="https://www.fdd.org/projects/center-on-military-and-political-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2019-10-04T19:05:00Z</dcterms:created>
  <dcterms:modified xsi:type="dcterms:W3CDTF">2019-10-04T19:07:00Z</dcterms:modified>
</cp:coreProperties>
</file>